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Calibri" w:cs="Calibri" w:eastAsia="Calibri" w:hAnsi="Calibri"/>
          <w:b w:val="1"/>
          <w:color w:val="202124"/>
        </w:rPr>
      </w:pPr>
      <w:r w:rsidDel="00000000" w:rsidR="00000000" w:rsidRPr="00000000">
        <w:rPr>
          <w:rFonts w:ascii="Calibri" w:cs="Calibri" w:eastAsia="Calibri" w:hAnsi="Calibri"/>
          <w:b w:val="1"/>
          <w:color w:val="202124"/>
          <w:rtl w:val="0"/>
        </w:rPr>
        <w:t xml:space="preserve">Bài phát biểu của Hiệp hội Doanh nghiệp Châu Âu (EUROCHAM)</w:t>
      </w:r>
    </w:p>
    <w:p w:rsidR="00000000" w:rsidDel="00000000" w:rsidP="00000000" w:rsidRDefault="00000000" w:rsidRPr="00000000" w14:paraId="00000002">
      <w:pPr>
        <w:spacing w:after="240" w:before="240" w:lineRule="auto"/>
        <w:jc w:val="center"/>
        <w:rPr>
          <w:rFonts w:ascii="Calibri" w:cs="Calibri" w:eastAsia="Calibri" w:hAnsi="Calibri"/>
          <w:b w:val="1"/>
          <w:color w:val="202124"/>
        </w:rPr>
      </w:pPr>
      <w:r w:rsidDel="00000000" w:rsidR="00000000" w:rsidRPr="00000000">
        <w:rPr>
          <w:rFonts w:ascii="Calibri" w:cs="Calibri" w:eastAsia="Calibri" w:hAnsi="Calibri"/>
          <w:b w:val="1"/>
          <w:color w:val="202124"/>
          <w:rtl w:val="0"/>
        </w:rPr>
        <w:t xml:space="preserve">tại Hội nghị Thủ tướng đối thoại với doanh nghiệp đầu tư nước ngoài</w:t>
      </w:r>
    </w:p>
    <w:p w:rsidR="00000000" w:rsidDel="00000000" w:rsidP="00000000" w:rsidRDefault="00000000" w:rsidRPr="00000000" w14:paraId="00000003">
      <w:pPr>
        <w:spacing w:after="240" w:before="240" w:lineRule="auto"/>
        <w:jc w:val="center"/>
        <w:rPr>
          <w:rFonts w:ascii="Calibri" w:cs="Calibri" w:eastAsia="Calibri" w:hAnsi="Calibri"/>
          <w:b w:val="1"/>
          <w:i w:val="1"/>
          <w:color w:val="202124"/>
        </w:rPr>
      </w:pPr>
      <w:r w:rsidDel="00000000" w:rsidR="00000000" w:rsidRPr="00000000">
        <w:rPr>
          <w:rFonts w:ascii="Calibri" w:cs="Calibri" w:eastAsia="Calibri" w:hAnsi="Calibri"/>
          <w:b w:val="1"/>
          <w:i w:val="1"/>
          <w:color w:val="202124"/>
          <w:rtl w:val="0"/>
        </w:rPr>
        <w:t xml:space="preserve">“Đột phá cải cách để thu hút đầu tư, hướng tới phát triển bền vững”</w:t>
      </w:r>
    </w:p>
    <w:p w:rsidR="00000000" w:rsidDel="00000000" w:rsidP="00000000" w:rsidRDefault="00000000" w:rsidRPr="00000000" w14:paraId="00000004">
      <w:pPr>
        <w:spacing w:after="240" w:before="240" w:lineRule="auto"/>
        <w:jc w:val="center"/>
        <w:rPr>
          <w:rFonts w:ascii="Calibri" w:cs="Calibri" w:eastAsia="Calibri" w:hAnsi="Calibri"/>
        </w:rPr>
      </w:pPr>
      <w:r w:rsidDel="00000000" w:rsidR="00000000" w:rsidRPr="00000000">
        <w:rPr>
          <w:rFonts w:ascii="Calibri" w:cs="Calibri" w:eastAsia="Calibri" w:hAnsi="Calibri"/>
          <w:color w:val="202124"/>
          <w:rtl w:val="0"/>
        </w:rPr>
        <w:t xml:space="preserve">8h00, ngày 22 tháng 4 năm 2023, Văn phòng Chính phủ</w:t>
      </w: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spacing w:after="240" w:before="24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 </w:t>
      </w:r>
    </w:p>
    <w:p w:rsidR="00000000" w:rsidDel="00000000" w:rsidP="00000000" w:rsidRDefault="00000000" w:rsidRPr="00000000" w14:paraId="00000006">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Kính thưa Ngài Phạm Minh Chính, Thủ tướng Chính phủ nước CHXHCN Việt Nam,</w:t>
      </w:r>
    </w:p>
    <w:p w:rsidR="00000000" w:rsidDel="00000000" w:rsidP="00000000" w:rsidRDefault="00000000" w:rsidRPr="00000000" w14:paraId="00000007">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Kính thưa Ngài Lê Minh Khái, Phó Thủ tướng</w:t>
      </w:r>
    </w:p>
    <w:p w:rsidR="00000000" w:rsidDel="00000000" w:rsidP="00000000" w:rsidRDefault="00000000" w:rsidRPr="00000000" w14:paraId="00000008">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Kính thưa Ngài Trần Lưu Quang, Phó Thủ Tướng</w:t>
      </w:r>
    </w:p>
    <w:p w:rsidR="00000000" w:rsidDel="00000000" w:rsidP="00000000" w:rsidRDefault="00000000" w:rsidRPr="00000000" w14:paraId="00000009">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Kính thưa lãnh đạo Chính phủ và cộng đồng doanh nghiệp nước ngoài,</w:t>
      </w:r>
    </w:p>
    <w:p w:rsidR="00000000" w:rsidDel="00000000" w:rsidP="00000000" w:rsidRDefault="00000000" w:rsidRPr="00000000" w14:paraId="0000000A">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Trên cương vị Chủ tịch Hiệp hội Doanh nghiệp Châu Âu tại Việt Nam (EuroCham), tôi vô cùng vinh dự được chia sẻ suy nghĩ của mình tại hội nghị dưới sự chủ trì của Thủ tướng Chính phủ hôm nay. Chúng tôi hoan nghênh chính phủ Việt Nam vì những nỗ lực không ngừng trong việc giải quyết những thách thức mà cộng đồng doanh nghiệp và đầu tư nước ngoài tại Việt Nam đang phải đối mặt. Hội nghị này mang đến cho chúng ta một cơ hội quý giá khác để suy nghĩ và đưa ra các chiến lược nhằm giúp Việt Nam có thể tận dụng và khai thác tiềm năng to lớn của mình.</w:t>
      </w:r>
    </w:p>
    <w:p w:rsidR="00000000" w:rsidDel="00000000" w:rsidP="00000000" w:rsidRDefault="00000000" w:rsidRPr="00000000" w14:paraId="0000000B">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Nền kinh tế toàn cầu đã trải qua thời kỳ đầy bất ổn gần đây. Điều này chắc chắn đã ảnh hưởng đến các doanh nghiệp châu Âu và môi trường đầu tư của Việt Nam. Do đó, Chỉ số môi trường kinh doanh của EuroCham (</w:t>
      </w:r>
      <w:r w:rsidDel="00000000" w:rsidR="00000000" w:rsidRPr="00000000">
        <w:rPr>
          <w:rFonts w:ascii="Arial" w:cs="Arial" w:eastAsia="Arial" w:hAnsi="Arial"/>
          <w:b w:val="1"/>
          <w:rtl w:val="0"/>
        </w:rPr>
        <w:t xml:space="preserve">BCI</w:t>
      </w:r>
      <w:r w:rsidDel="00000000" w:rsidR="00000000" w:rsidRPr="00000000">
        <w:rPr>
          <w:rFonts w:ascii="Arial" w:cs="Arial" w:eastAsia="Arial" w:hAnsi="Arial"/>
          <w:rtl w:val="0"/>
        </w:rPr>
        <w:t xml:space="preserve">) đã biến động trong 12 tháng qua, giảm từ 73 điểm trong Quý 1 năm 2022 xuống chỉ còn 48 điểm trong Quý 4 năm 2022 và Quý 1 năm 2023.</w:t>
      </w:r>
    </w:p>
    <w:p w:rsidR="00000000" w:rsidDel="00000000" w:rsidP="00000000" w:rsidRDefault="00000000" w:rsidRPr="00000000" w14:paraId="0000000C">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Các số liệu của Báo cáo trong Quý 1 năm 2023 cho thấy có dấu hiệu hy vọng, khi chỉ số lạc quan của các doanh nghiệp châu Âu về nền kinh tế Việt Nam đã tăng 8 điểm, mặc dù BCI vẫn ở mức 48. Ngoài ra, việc điều chỉnh tăng dự báo tăng trưởng của EU cho thấy đà sụt giảm kinh tế đang “tạo đáy” và doanh nghiệp sẽ chứng kiến sự tích cực trong quý tới. </w:t>
      </w:r>
    </w:p>
    <w:p w:rsidR="00000000" w:rsidDel="00000000" w:rsidP="00000000" w:rsidRDefault="00000000" w:rsidRPr="00000000" w14:paraId="0000000D">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Mặc dù phải đối mặt với một số rào cản trong thời gian gần đây, Việt Nam đã được công nhận là một ngôi sao đang lên trong lĩnh vực kinh doanh và đầu tư. Tuy nhiên, với tình hình kinh tế hiện nay, không có chỗ cho sự tự mãn. Việt Nam giờ đây phải có những bước đi táo bạo và quyết đoán hướng tới những cải cách mang tính đột phá để duy trì đà tăng trưởng. Về vấn đề này, EuroCham đề xuất một số hành động có thể mở đường cho sự tăng trưởng bền vững và ổn định.</w:t>
      </w:r>
    </w:p>
    <w:p w:rsidR="00000000" w:rsidDel="00000000" w:rsidP="00000000" w:rsidRDefault="00000000" w:rsidRPr="00000000" w14:paraId="0000000E">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Các mục tiêu đầy tham vọng của Việt Nam về </w:t>
      </w:r>
      <w:r w:rsidDel="00000000" w:rsidR="00000000" w:rsidRPr="00000000">
        <w:rPr>
          <w:rFonts w:ascii="Arial" w:cs="Arial" w:eastAsia="Arial" w:hAnsi="Arial"/>
          <w:b w:val="1"/>
          <w:rtl w:val="0"/>
        </w:rPr>
        <w:t xml:space="preserve">chuyển đổi năng lượng</w:t>
      </w:r>
      <w:r w:rsidDel="00000000" w:rsidR="00000000" w:rsidRPr="00000000">
        <w:rPr>
          <w:rFonts w:ascii="Arial" w:cs="Arial" w:eastAsia="Arial" w:hAnsi="Arial"/>
          <w:rtl w:val="0"/>
        </w:rPr>
        <w:t xml:space="preserve"> xanh đã được ghi nhận rõ ràng và Việt Nam đã phát triển một chiến lược quốc gia toàn diện để đạt được các mục tiêu đó. Tuy nhiên, việc thực hiện chiến lược này chưa đáp ứng được kỳ vọng. Năng lượng sạch và tái tạo là chất xúc tác cho đầu tư và tăng trưởng trên toàn nền kinh tế, đồng thời các doanh nghiệp châu Âu phụ thuộc rất nhiều vào nguồn năng lượng này. Trong thời gian qua, việc chưa đáp ứng được nhu cầu này đã khiến một số dự án đầu tư phải tạm ngưng mở rộng. Để đáp ứng nhu cầu năng lượng trong tương lai, cần đẩy nhanh việc hoàn thiện và triển khai Quy hoạch phát triển điện 8. Các hợp đồng mua bán điện trực tiếp cũng nên được thực hiện để khuyến khích các nhà sản xuất năng lượng tái tạo, đặc biệt là các nhà máy trong KCN nên được phép tham gia hơp đồng mua bán điện trực tiếp. Tương tự như vậy, chúng tôi đề nghị tạo điều kiện thuận lợi cho các nhà máy có nhu cầu sử dụng năng lượng tái tạo để đáp ứng các yêu cầu tuân thủ từ EU.</w:t>
      </w:r>
    </w:p>
    <w:p w:rsidR="00000000" w:rsidDel="00000000" w:rsidP="00000000" w:rsidRDefault="00000000" w:rsidRPr="00000000" w14:paraId="0000000F">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Quá trình chuyển đổi của Việt Nam sang nền </w:t>
      </w:r>
      <w:r w:rsidDel="00000000" w:rsidR="00000000" w:rsidRPr="00000000">
        <w:rPr>
          <w:rFonts w:ascii="Arial" w:cs="Arial" w:eastAsia="Arial" w:hAnsi="Arial"/>
          <w:b w:val="1"/>
          <w:rtl w:val="0"/>
        </w:rPr>
        <w:t xml:space="preserve">kinh tế tuần hoàn</w:t>
      </w:r>
      <w:r w:rsidDel="00000000" w:rsidR="00000000" w:rsidRPr="00000000">
        <w:rPr>
          <w:rFonts w:ascii="Arial" w:cs="Arial" w:eastAsia="Arial" w:hAnsi="Arial"/>
          <w:rtl w:val="0"/>
        </w:rPr>
        <w:t xml:space="preserve"> cũng có ý nghĩa then chốt không kém để đạt được các mục tiêu phát triển bền vững và thúc đẩy hiệu quả sử dụng tài nguyên trên toàn nền kinh tế. Chúng tôi hoan nghênh lộ trình đề xuất của Bộ Tài nguyên và Môi trường và những nỗ lực của Việt Nam trong việc thực hiện quy định mở rộng về trách nhiệm của nhà sản xuất. Tuy nhiên, chúng tôi khuyến cáo nên áp dụng định mức chi phí tái chế do doanh nghiệp góp cần được trừ đi phần giá trị thu hồi được sau tái chế đối với doanh nghiệp sử dụng vật liệu có giá trị tái chế cao. Các doanh nghiệp cũng nên được phép nộp các khoản đóng góp tái chế của họ cho năm 2024 vào đầu năm 2025, dựa trên số liệu sản xuất và nhập khẩu của họ. Ngoài ra, Việt Nam cần tăng cường xử phạt đối với việc vi phạm các quy định về chất thải và cần thúc đẩy việc sử dụng các vật liệu thay thế như nhựa có thể phân hủy sinh học như một biện pháp giảm thiểu chất thải chính.</w:t>
      </w:r>
    </w:p>
    <w:p w:rsidR="00000000" w:rsidDel="00000000" w:rsidP="00000000" w:rsidRDefault="00000000" w:rsidRPr="00000000" w14:paraId="00000010">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Với ý nghĩa quan trọng của việc phát triển chất lượng nguồn </w:t>
      </w:r>
      <w:r w:rsidDel="00000000" w:rsidR="00000000" w:rsidRPr="00000000">
        <w:rPr>
          <w:rFonts w:ascii="Arial" w:cs="Arial" w:eastAsia="Arial" w:hAnsi="Arial"/>
          <w:b w:val="1"/>
          <w:rtl w:val="0"/>
        </w:rPr>
        <w:t xml:space="preserve">nhân lực</w:t>
      </w:r>
      <w:r w:rsidDel="00000000" w:rsidR="00000000" w:rsidRPr="00000000">
        <w:rPr>
          <w:rFonts w:ascii="Arial" w:cs="Arial" w:eastAsia="Arial" w:hAnsi="Arial"/>
          <w:rtl w:val="0"/>
        </w:rPr>
        <w:t xml:space="preserve">, Việt Nam cũng nên tiếp tục tập trung vào việc trở thành điểm thu hút nhân tài chất lượng cao và đội ngũ quản lý có kinh nghiệm. Quyết liệt hành động để thu hút và giữ chân nhân tài cũng giống như gieo mầm thịnh vượng cho sự tăng trưởng và phát triển kinh tế của Việt Nam trong tương lai. Tất nhiên, điều này đòi hỏi phải giải quyết nút thắt về giấy phép lao động cho lao động nước ngoài. Tại Diễn đàn Doanh nghiệp Việt Nam, chúng tôi vui mừng được biết Bộ trưởng Bộ Lao động, Thương binh và Xã hội cam kết sửa đổi Nghị định 152 theo hướng đơn giản hóa các thủ tục bao gồm cả quy trình xin cấp mới hoặc gia hạn giấy phép và cho các nhà quản lý nước ngoài chuyển sang vị trí chuyên gia. Điều này chắc chắn sẽ mang lại những hiệu quả lâu dài có lợi cho đất nước về nhiều mặt.</w:t>
      </w:r>
    </w:p>
    <w:p w:rsidR="00000000" w:rsidDel="00000000" w:rsidP="00000000" w:rsidRDefault="00000000" w:rsidRPr="00000000" w14:paraId="00000011">
      <w:pPr>
        <w:spacing w:after="240" w:before="240" w:lineRule="auto"/>
        <w:jc w:val="both"/>
        <w:rPr>
          <w:rFonts w:ascii="Arial" w:cs="Arial" w:eastAsia="Arial" w:hAnsi="Arial"/>
        </w:rPr>
      </w:pPr>
      <w:r w:rsidDel="00000000" w:rsidR="00000000" w:rsidRPr="00000000">
        <w:rPr>
          <w:rFonts w:ascii="Arial" w:cs="Arial" w:eastAsia="Arial" w:hAnsi="Arial"/>
          <w:b w:val="1"/>
          <w:rtl w:val="0"/>
        </w:rPr>
        <w:t xml:space="preserve">Về du lịch</w:t>
      </w:r>
      <w:r w:rsidDel="00000000" w:rsidR="00000000" w:rsidRPr="00000000">
        <w:rPr>
          <w:rFonts w:ascii="Arial" w:cs="Arial" w:eastAsia="Arial" w:hAnsi="Arial"/>
          <w:rtl w:val="0"/>
        </w:rPr>
        <w:t xml:space="preserve">, lĩnh vực này là một phần quan trọng trong tăng trưởng của Việt Nam và chúng tôi rất vui mừng được biết thêm về những cải cách thị thực du lịch sắp tới của Chính phủ. Vì vậy, chúng tôi tiếp tục khuyến nghị mở rộng miễn thị thực nhập cảnh cho tất cả các quốc gia thành viên Liên minh Châu Âu, mở cửa cho khách du lịch chi tiêu cao và tạo điều kiện xúc tiến đầu tư trong thời gian tới. </w:t>
      </w:r>
    </w:p>
    <w:p w:rsidR="00000000" w:rsidDel="00000000" w:rsidP="00000000" w:rsidRDefault="00000000" w:rsidRPr="00000000" w14:paraId="00000012">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Trong lĩnh vực</w:t>
      </w:r>
      <w:r w:rsidDel="00000000" w:rsidR="00000000" w:rsidRPr="00000000">
        <w:rPr>
          <w:rFonts w:ascii="Arial" w:cs="Arial" w:eastAsia="Arial" w:hAnsi="Arial"/>
          <w:b w:val="1"/>
          <w:rtl w:val="0"/>
        </w:rPr>
        <w:t xml:space="preserve"> chăm sóc sức khỏe</w:t>
      </w:r>
      <w:r w:rsidDel="00000000" w:rsidR="00000000" w:rsidRPr="00000000">
        <w:rPr>
          <w:rFonts w:ascii="Arial" w:cs="Arial" w:eastAsia="Arial" w:hAnsi="Arial"/>
          <w:rtl w:val="0"/>
        </w:rPr>
        <w:t xml:space="preserve">, EuroCham nhấn mạnh đến việc cải thiện khả năng tiếp cận dược phẩm và thiết bị y tế thông qua các quy trình quản lý được tối ưu hóa cùng các thông lệ tốt nhất toàn cầu. Điều này đòi hỏi các chính sách mua sắm đấu thầu và tài chính dựa trên giá trị phải được sửa đổi bởi Luật Dược. Chúng tôi cũng đánh giá cao việc triển khai Nghị định 07 và Nghị quyết 30 vừa qua đã góp phần khắc phục tình trạng thiếu vật tư y tế và gián đoạn xét nghiệm, chẩn đoán và điều trị tại các bệnh viện. Chúng tôi cũng ghi nhận những nỗ lực của Bộ Y tế trong việc phê duyệt cấp phép lưu hành cho các thiết bị y tế loại C và D còn tồn đọng và các thiết bị nộp mới, góp phần cải thiện khả năng tiếp cận dịch vụ chăm sóc sức khỏe chất lượng cao với chi phí hợp lý.</w:t>
      </w:r>
    </w:p>
    <w:p w:rsidR="00000000" w:rsidDel="00000000" w:rsidP="00000000" w:rsidRDefault="00000000" w:rsidRPr="00000000" w14:paraId="00000013">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Về </w:t>
      </w:r>
      <w:r w:rsidDel="00000000" w:rsidR="00000000" w:rsidRPr="00000000">
        <w:rPr>
          <w:rFonts w:ascii="Arial" w:cs="Arial" w:eastAsia="Arial" w:hAnsi="Arial"/>
          <w:b w:val="1"/>
          <w:rtl w:val="0"/>
        </w:rPr>
        <w:t xml:space="preserve">thuế và phí</w:t>
      </w:r>
      <w:r w:rsidDel="00000000" w:rsidR="00000000" w:rsidRPr="00000000">
        <w:rPr>
          <w:rFonts w:ascii="Arial" w:cs="Arial" w:eastAsia="Arial" w:hAnsi="Arial"/>
          <w:rtl w:val="0"/>
        </w:rPr>
        <w:t xml:space="preserve">, EuroCham hoan nghênh quyết định của Chính phủ về gia hạn nộp thuế và giảm thuế giá trị gia tăng. Điều này sẽ hỗ trợ phục hồi kinh doanh và kích thích nhu cầu của người tiêu dùng như một động lực chính của tăng trưởng. Việt Nam cũng cần xây dựng các chính sách ưu đãi phù hợp, cạnh tranh để thu hút đầu tư, đặc biệt là trước quy định thuế tối thiểu toàn cầu sắp được áp dụng. Ngoài ra, hài hòa hóa thủ tục hành chính và chính sách thuế là rất quan trọng để thúc đẩy tăng trưởng thương mại trong khuôn khổ EVFTA. Theo hướng đó, khuyến nghị của chúng tôi là Chính phủ không nên sử dụng thuế tiêu thụ đặc biệt như một công cụ để bù lại việc việc xóa bỏ thuế nhập khẩu. Chính phủ có thể xem xét áp dụng hệ thống thuế TTĐB hỗn hợp đối với rượu vang và rượu mạnh và không nên áp dụng thuế TTĐB đối với các sản phẩm thiết yếu như sữa và thực phẩm bổ sung dinh dưỡng. Chúng tôi cũng kiến ​​nghị miễn hoặc giảm thuế TTĐB cho các sản phẩm công nghiệp thân thiện với môi trường, chẳng hạn như xe điện.</w:t>
      </w:r>
    </w:p>
    <w:p w:rsidR="00000000" w:rsidDel="00000000" w:rsidP="00000000" w:rsidRDefault="00000000" w:rsidRPr="00000000" w14:paraId="00000014">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Thêm vào đó, cả khu vực nhà nước và khu vực tư nhân cần tiếp tục ưu tiên </w:t>
      </w:r>
      <w:r w:rsidDel="00000000" w:rsidR="00000000" w:rsidRPr="00000000">
        <w:rPr>
          <w:rFonts w:ascii="Arial" w:cs="Arial" w:eastAsia="Arial" w:hAnsi="Arial"/>
          <w:b w:val="1"/>
          <w:rtl w:val="0"/>
        </w:rPr>
        <w:t xml:space="preserve">chuyển đổi số</w:t>
      </w:r>
      <w:r w:rsidDel="00000000" w:rsidR="00000000" w:rsidRPr="00000000">
        <w:rPr>
          <w:rFonts w:ascii="Arial" w:cs="Arial" w:eastAsia="Arial" w:hAnsi="Arial"/>
          <w:rtl w:val="0"/>
        </w:rPr>
        <w:t xml:space="preserve"> toàn diện, đặc biệt trong việc thực hiện các thủ tục hành chính nhằm nâng cao chất lượng cuộc sống cho người dân và doanh nghiệp. Điều này nên bao gồm việc số hóa các dịch vụ và sử dụng các công nghệ hiện đại như điện toán đám mây, tự động hóa và trí tuệ nhân tạo.</w:t>
      </w:r>
    </w:p>
    <w:p w:rsidR="00000000" w:rsidDel="00000000" w:rsidP="00000000" w:rsidRDefault="00000000" w:rsidRPr="00000000" w14:paraId="00000015">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Lưu ý cuối cùng nhưng cũng rất quan trọng, có lẽ tất cả chúng ta đều biết rằng số ca mắc COVID-19 đang gia tăng trở lại. Tuy nhiên, chúng tôi hy vọng và đề nghị Chính phủ Việt Nam đánh giá thận trọng sự cần thiết của các biện pháp kiểm soát đại dịch. Các chính sách quá khắt khe sẽ tác động tiêu cực đến đầu tư trong nước và hạn chế sự phục hồi của các ngành dịch vụ, đặc biệt là trong lĩnh vực du lịch và nhà hàng khách sạn. Chúng tôi khuyến khích Chính phủ duy trì các chính sách phù hợp với tiêu chuẩn quốc tế.</w:t>
      </w:r>
    </w:p>
    <w:p w:rsidR="00000000" w:rsidDel="00000000" w:rsidP="00000000" w:rsidRDefault="00000000" w:rsidRPr="00000000" w14:paraId="00000016">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Cộng đồng Doanh nghiệp Châu Âu tại Việt Nam sẵn sàng sát cánh với Chính phủ Việt Nam trong việc xây dựng một quốc gia thịnh vượng và kiên cường, hướng tới phát triển bền vững và nền kinh tế xanh. Chúng tôi cam kết hợp tác với chính phủ để thực hiện những nguyện vọng chung này. Chúng tôi có vinh dự được đồng hành với sự phát triển của Việt Nam và xin gửi lời cảm ơn chân thành về cơ hội chia sẻ những hiểu biết sâu sắc này. </w:t>
      </w:r>
    </w:p>
    <w:p w:rsidR="00000000" w:rsidDel="00000000" w:rsidP="00000000" w:rsidRDefault="00000000" w:rsidRPr="00000000" w14:paraId="00000017">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Cảm ơn quý vị đã lắng nghe.</w:t>
      </w:r>
    </w:p>
    <w:sectPr>
      <w:headerReference r:id="rId7" w:type="default"/>
      <w:footerReference r:id="rId8" w:type="default"/>
      <w:pgSz w:h="15840" w:w="12240" w:orient="portrait"/>
      <w:pgMar w:bottom="1440" w:top="18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p w:rsidR="00000000" w:rsidDel="00000000" w:rsidP="00000000" w:rsidRDefault="00000000" w:rsidRPr="00000000" w14:paraId="0000001A">
    <w:pPr>
      <w:tabs>
        <w:tab w:val="center" w:leader="none" w:pos="4680"/>
        <w:tab w:val="right" w:leader="none" w:pos="9360"/>
      </w:tabs>
      <w:jc w:val="right"/>
      <w:rPr>
        <w:rFonts w:ascii="Arial" w:cs="Arial" w:eastAsia="Arial" w:hAnsi="Arial"/>
        <w:color w:val="000000"/>
        <w:sz w:val="22"/>
        <w:szCs w:val="22"/>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2052638</wp:posOffset>
          </wp:positionH>
          <wp:positionV relativeFrom="paragraph">
            <wp:posOffset>-342899</wp:posOffset>
          </wp:positionV>
          <wp:extent cx="1836174" cy="1028700"/>
          <wp:effectExtent b="0" l="0" r="0" t="0"/>
          <wp:wrapNone/>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36174" cy="1028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Pr>
      <w:u w:val="single"/>
    </w:rPr>
  </w:style>
  <w:style w:type="paragraph" w:styleId="HeaderFooter" w:customStyle="1">
    <w:name w:val="Header &amp; Footer"/>
    <w:pPr>
      <w:tabs>
        <w:tab w:val="right" w:pos="9020"/>
      </w:tabs>
    </w:pPr>
    <w:rPr>
      <w:rFonts w:ascii="Arial" w:cs="Arial Unicode MS" w:hAnsi="Arial"/>
      <w:color w:val="000000"/>
      <w:sz w:val="22"/>
      <w:szCs w:val="22"/>
      <w14:textOutline w14:cap="flat" w14:cmpd="sng" w14:algn="ctr">
        <w14:noFill/>
        <w14:prstDash w14:val="solid"/>
        <w14:bevel/>
      </w14:textOutline>
    </w:rPr>
  </w:style>
  <w:style w:type="paragraph" w:styleId="BodyA" w:customStyle="1">
    <w:name w:val="Body A"/>
    <w:pPr>
      <w:spacing w:after="160" w:line="259" w:lineRule="auto"/>
    </w:pPr>
    <w:rPr>
      <w:rFonts w:ascii="Calibri" w:cs="Arial Unicode MS" w:hAnsi="Calibri"/>
      <w:color w:val="000000"/>
      <w:sz w:val="22"/>
      <w:szCs w:val="22"/>
      <w:u w:color="000000"/>
      <w14:textOutline w14:cap="flat" w14:cmpd="sng" w14:w="12700" w14:algn="ctr">
        <w14:noFill/>
        <w14:prstDash w14:val="solid"/>
        <w14:miter w14:lim="400000"/>
      </w14:textOutline>
    </w:rPr>
  </w:style>
  <w:style w:type="paragraph" w:styleId="ListParagraph">
    <w:name w:val="List Paragraph"/>
    <w:uiPriority w:val="34"/>
    <w:qFormat w:val="1"/>
    <w:pPr>
      <w:ind w:left="720"/>
    </w:pPr>
    <w:rPr>
      <w:rFonts w:ascii="Calibri" w:cs="Arial Unicode MS" w:hAnsi="Calibri"/>
      <w:color w:val="000000"/>
      <w:sz w:val="22"/>
      <w:szCs w:val="22"/>
      <w:u w:color="000000"/>
    </w:rPr>
  </w:style>
  <w:style w:type="numbering" w:styleId="ImportedStyle2" w:customStyle="1">
    <w:name w:val="Imported Style 2"/>
  </w:style>
  <w:style w:type="numbering" w:styleId="ImportedStyle3" w:customStyle="1">
    <w:name w:val="Imported Style 3"/>
  </w:style>
  <w:style w:type="paragraph" w:styleId="Header">
    <w:name w:val="header"/>
    <w:basedOn w:val="Normal"/>
    <w:link w:val="HeaderChar"/>
    <w:uiPriority w:val="99"/>
    <w:unhideWhenUsed w:val="1"/>
    <w:rsid w:val="00FF5FB1"/>
    <w:pPr>
      <w:tabs>
        <w:tab w:val="center" w:pos="4680"/>
        <w:tab w:val="right" w:pos="9360"/>
      </w:tabs>
    </w:pPr>
  </w:style>
  <w:style w:type="character" w:styleId="HeaderChar" w:customStyle="1">
    <w:name w:val="Header Char"/>
    <w:basedOn w:val="DefaultParagraphFont"/>
    <w:link w:val="Header"/>
    <w:uiPriority w:val="99"/>
    <w:rsid w:val="00FF5FB1"/>
    <w:rPr>
      <w:sz w:val="24"/>
      <w:szCs w:val="24"/>
    </w:rPr>
  </w:style>
  <w:style w:type="paragraph" w:styleId="Footer">
    <w:name w:val="footer"/>
    <w:basedOn w:val="Normal"/>
    <w:link w:val="FooterChar"/>
    <w:uiPriority w:val="99"/>
    <w:unhideWhenUsed w:val="1"/>
    <w:rsid w:val="00FF5FB1"/>
    <w:pPr>
      <w:tabs>
        <w:tab w:val="center" w:pos="4680"/>
        <w:tab w:val="right" w:pos="9360"/>
      </w:tabs>
    </w:pPr>
  </w:style>
  <w:style w:type="character" w:styleId="FooterChar" w:customStyle="1">
    <w:name w:val="Footer Char"/>
    <w:basedOn w:val="DefaultParagraphFont"/>
    <w:link w:val="Footer"/>
    <w:uiPriority w:val="99"/>
    <w:rsid w:val="00FF5FB1"/>
    <w:rPr>
      <w:sz w:val="24"/>
      <w:szCs w:val="24"/>
    </w:rPr>
  </w:style>
  <w:style w:type="paragraph" w:styleId="Default" w:customStyle="1">
    <w:name w:val="Default"/>
    <w:rsid w:val="00A275B1"/>
    <w:pPr>
      <w:autoSpaceDE w:val="0"/>
      <w:autoSpaceDN w:val="0"/>
      <w:adjustRightInd w:val="0"/>
    </w:pPr>
    <w:rPr>
      <w:rFonts w:ascii="Tahoma" w:cs="Tahoma" w:hAnsi="Tahoma" w:eastAsiaTheme="minorHAnsi"/>
      <w:color w:val="000000"/>
    </w:rPr>
  </w:style>
  <w:style w:type="paragraph" w:styleId="xmsonormal" w:customStyle="1">
    <w:name w:val="x_msonormal"/>
    <w:basedOn w:val="Normal"/>
    <w:rsid w:val="00F76AB0"/>
    <w:rPr>
      <w:rFonts w:ascii="Calibri" w:cs="Calibri" w:hAnsi="Calibri" w:eastAsiaTheme="minorHAnsi"/>
      <w:sz w:val="22"/>
      <w:szCs w:val="22"/>
    </w:rPr>
  </w:style>
  <w:style w:type="character" w:styleId="Char" w:customStyle="1">
    <w:name w:val="&gt; Char"/>
    <w:basedOn w:val="DefaultParagraphFont"/>
    <w:link w:val="a"/>
    <w:locked w:val="1"/>
    <w:rsid w:val="00F76AB0"/>
    <w:rPr>
      <w:color w:val="1f3864"/>
    </w:rPr>
  </w:style>
  <w:style w:type="paragraph" w:styleId="a" w:customStyle="1">
    <w:name w:val="&gt;"/>
    <w:basedOn w:val="Normal"/>
    <w:link w:val="Char"/>
    <w:rsid w:val="00F76AB0"/>
    <w:pPr>
      <w:spacing w:line="288" w:lineRule="auto"/>
      <w:jc w:val="both"/>
    </w:pPr>
    <w:rPr>
      <w:color w:val="1f3864"/>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8A5505"/>
  </w:style>
  <w:style w:type="character" w:styleId="CommentReference">
    <w:name w:val="annotation reference"/>
    <w:basedOn w:val="DefaultParagraphFont"/>
    <w:uiPriority w:val="99"/>
    <w:semiHidden w:val="1"/>
    <w:unhideWhenUsed w:val="1"/>
    <w:rsid w:val="007E3C53"/>
    <w:rPr>
      <w:sz w:val="16"/>
      <w:szCs w:val="16"/>
    </w:rPr>
  </w:style>
  <w:style w:type="paragraph" w:styleId="CommentText">
    <w:name w:val="annotation text"/>
    <w:basedOn w:val="Normal"/>
    <w:link w:val="CommentTextChar"/>
    <w:uiPriority w:val="99"/>
    <w:semiHidden w:val="1"/>
    <w:unhideWhenUsed w:val="1"/>
    <w:rsid w:val="007E3C53"/>
    <w:rPr>
      <w:sz w:val="20"/>
      <w:szCs w:val="20"/>
    </w:rPr>
  </w:style>
  <w:style w:type="character" w:styleId="CommentTextChar" w:customStyle="1">
    <w:name w:val="Comment Text Char"/>
    <w:basedOn w:val="DefaultParagraphFont"/>
    <w:link w:val="CommentText"/>
    <w:uiPriority w:val="99"/>
    <w:semiHidden w:val="1"/>
    <w:rsid w:val="007E3C53"/>
    <w:rPr>
      <w:sz w:val="20"/>
      <w:szCs w:val="20"/>
    </w:rPr>
  </w:style>
  <w:style w:type="paragraph" w:styleId="CommentSubject">
    <w:name w:val="annotation subject"/>
    <w:basedOn w:val="CommentText"/>
    <w:next w:val="CommentText"/>
    <w:link w:val="CommentSubjectChar"/>
    <w:uiPriority w:val="99"/>
    <w:semiHidden w:val="1"/>
    <w:unhideWhenUsed w:val="1"/>
    <w:rsid w:val="007E3C53"/>
    <w:rPr>
      <w:b w:val="1"/>
      <w:bCs w:val="1"/>
    </w:rPr>
  </w:style>
  <w:style w:type="character" w:styleId="CommentSubjectChar" w:customStyle="1">
    <w:name w:val="Comment Subject Char"/>
    <w:basedOn w:val="CommentTextChar"/>
    <w:link w:val="CommentSubject"/>
    <w:uiPriority w:val="99"/>
    <w:semiHidden w:val="1"/>
    <w:rsid w:val="007E3C53"/>
    <w:rPr>
      <w:b w:val="1"/>
      <w:bCs w:val="1"/>
      <w:sz w:val="20"/>
      <w:szCs w:val="20"/>
    </w:rPr>
  </w:style>
  <w:style w:type="paragraph" w:styleId="BalloonText">
    <w:name w:val="Balloon Text"/>
    <w:basedOn w:val="Normal"/>
    <w:link w:val="BalloonTextChar"/>
    <w:uiPriority w:val="99"/>
    <w:semiHidden w:val="1"/>
    <w:unhideWhenUsed w:val="1"/>
    <w:rsid w:val="00A04873"/>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04873"/>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OfMszdTyCmgDQ6X7OMVkGg+WnA==">AMUW2mUD1ZdQfOsJgdso29GVFXBSuOIAottn/3cL7aQUDwaf50phdYVGNpt6Fk8SJbP/rs1djQPvH7uCIHleh2TxO7zN3NPjiXoTRcrS+oyGaFh3c9Ed/6k=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2023-04-21T03:27:00Z</dcterms:created>
  <dc:creator>Vinh.Dang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2f827e3d8baccfaafbc68960c8d11676044c61e965836e1972b648bbd260f7dd</vt:lpwstr>
  </property>
</Properties>
</file>